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240" w:lineRule="atLeast"/>
        <w:ind w:left="1024" w:hanging="1024" w:hangingChars="400"/>
        <w:rPr>
          <w:rFonts w:hint="default"/>
          <w:snapToGrid w:val="0"/>
          <w:color w:val="auto"/>
          <w:kern w:val="0"/>
          <w:u w:val="none" w:color="auto"/>
        </w:rPr>
      </w:pPr>
      <w:r>
        <w:rPr>
          <w:rFonts w:hint="eastAsia" w:ascii="ＭＳ ゴシックfalt" w:hAnsi="ＭＳ ゴシックfalt" w:eastAsia="ＭＳ ゴシックfalt"/>
          <w:snapToGrid w:val="0"/>
          <w:color w:val="auto"/>
          <w:kern w:val="0"/>
          <w:sz w:val="28"/>
          <w:u w:val="none" w:color="auto"/>
        </w:rPr>
        <w:t>様式１</w: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snapToGrid w:val="0"/>
          <w:color w:val="auto"/>
          <w:kern w:val="0"/>
          <w:sz w:val="28"/>
          <w:u w:val="none" w:color="auto"/>
        </w:rPr>
      </w:pPr>
      <w:bookmarkStart w:id="0" w:name="_GoBack"/>
      <w:bookmarkEnd w:id="0"/>
      <w:r>
        <w:rPr>
          <w:rFonts w:hint="eastAsia" w:ascii="ＭＳ ゴシックfalt" w:hAnsi="ＭＳ ゴシックfalt" w:eastAsia="ＭＳ ゴシックfalt"/>
          <w:snapToGrid w:val="0"/>
          <w:color w:val="auto"/>
          <w:kern w:val="0"/>
          <w:sz w:val="28"/>
          <w:u w:val="none" w:color="auto"/>
        </w:rPr>
        <w:t>予想される事故対策リスト</w:t>
      </w:r>
      <w:r>
        <w:rPr>
          <w:rFonts w:hint="eastAsia" w:ascii="ＭＳ ゴシックfalt" w:hAnsi="ＭＳ ゴシックfalt" w:eastAsia="ＭＳ ゴシックfalt"/>
          <w:color w:val="auto"/>
          <w:sz w:val="28"/>
          <w:u w:val="none" w:color="auto"/>
        </w:rPr>
        <w:t>【建築・設備工事】</w:t>
      </w:r>
    </w:p>
    <w:p>
      <w:pPr>
        <w:pStyle w:val="0"/>
        <w:rPr>
          <w:rFonts w:hint="default" w:ascii="ＭＳ ゴシックfalt" w:hAnsi="ＭＳ ゴシックfalt" w:eastAsia="ＭＳ ゴシックfalt"/>
          <w:snapToGrid w:val="0"/>
          <w:color w:val="auto"/>
          <w:kern w:val="0"/>
          <w:u w:val="non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0" w:val="00A0"/>
      </w:tblPr>
      <w:tblGrid>
        <w:gridCol w:w="658"/>
        <w:gridCol w:w="2744"/>
        <w:gridCol w:w="2191"/>
        <w:gridCol w:w="2592"/>
        <w:gridCol w:w="1221"/>
      </w:tblGrid>
      <w:tr>
        <w:trPr>
          <w:cantSplit/>
          <w:trHeight w:val="1397" w:hRule="atLeast"/>
        </w:trPr>
        <w:tc>
          <w:tcPr>
            <w:tcW w:w="65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位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置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番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号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【事故の種別】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予想される事故</w:t>
            </w:r>
          </w:p>
        </w:tc>
        <w:tc>
          <w:tcPr>
            <w:tcW w:w="2191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左記の安全対策</w:t>
            </w:r>
          </w:p>
        </w:tc>
        <w:tc>
          <w:tcPr>
            <w:tcW w:w="2592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対策における留意点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確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認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日</w:t>
            </w:r>
          </w:p>
        </w:tc>
      </w:tr>
      <w:tr>
        <w:trPr>
          <w:trHeight w:val="947" w:hRule="atLeast"/>
        </w:trPr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【墜落・転落】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【挟まれ・巻き込まれ】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【地下埋設物等】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【架空線】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【第三者立入】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【交通事故】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snapToGrid w:val="0"/>
                <w:color w:val="auto"/>
                <w:kern w:val="0"/>
                <w:u w:val="none" w:color="auto"/>
              </w:rPr>
              <w:t>【クレーン等の転倒】</w:t>
            </w: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19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2592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napToGrid w:val="0"/>
                <w:color w:val="auto"/>
                <w:kern w:val="0"/>
                <w:u w:val="none" w:color="auto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</w:tbl>
    <w:p>
      <w:pPr>
        <w:pStyle w:val="0"/>
        <w:spacing w:line="320" w:lineRule="exact"/>
        <w:ind w:left="398" w:hanging="398" w:hangingChars="203"/>
        <w:rPr>
          <w:rFonts w:hint="default"/>
          <w:snapToGrid w:val="0"/>
          <w:color w:val="auto"/>
          <w:kern w:val="0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</w:t>
      </w:r>
      <w:r>
        <w:rPr>
          <w:rFonts w:hint="eastAsia"/>
          <w:snapToGrid w:val="0"/>
          <w:color w:val="auto"/>
          <w:kern w:val="0"/>
          <w:u w:val="none" w:color="auto"/>
        </w:rPr>
        <w:t>※対策の策定にあたっては、下記資料等を参考に、当該現場状況に応じた対策を記載すること。</w:t>
      </w:r>
    </w:p>
    <w:p>
      <w:pPr>
        <w:pStyle w:val="0"/>
        <w:rPr>
          <w:rFonts w:hint="default" w:ascii="ＭＳ ゴシックfalt" w:hAnsi="ＭＳ ゴシックfalt" w:eastAsia="ＭＳ ゴシックfalt"/>
          <w:snapToGrid w:val="0"/>
          <w:color w:val="auto"/>
          <w:kern w:val="0"/>
          <w:u w:val="none" w:color="auto"/>
        </w:rPr>
      </w:pPr>
      <w:r>
        <w:rPr>
          <w:rFonts w:hint="eastAsia" w:ascii="ＭＳ ゴシックfalt" w:hAnsi="ＭＳ ゴシックfalt" w:eastAsia="ＭＳ ゴシックfalt"/>
          <w:snapToGrid w:val="0"/>
          <w:color w:val="auto"/>
          <w:kern w:val="0"/>
          <w:u w:val="none" w:color="auto"/>
        </w:rPr>
        <w:t>【参考資料】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・安全サポートマニュアル（中部地方整備局</w:t>
      </w:r>
      <w:r>
        <w:rPr>
          <w:rFonts w:hint="default"/>
          <w:snapToGrid w:val="0"/>
          <w:color w:val="auto"/>
          <w:kern w:val="0"/>
          <w:sz w:val="22"/>
          <w:u w:val="none" w:color="auto"/>
        </w:rPr>
        <w:t xml:space="preserve"> 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 xml:space="preserve"> 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令和２年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11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月改定版）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"https://www.cbr.mlit.go.jp/architecture/kensetsugijutsu/anzen_suppor"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  <w:color w:val="auto"/>
          <w:u w:val="none" w:color="auto"/>
        </w:rPr>
        <w:t>https://www.cbr.mlit.go.jp/architecture/kensetsugijutsu/anzen_suppor</w:t>
      </w:r>
      <w:r>
        <w:rPr>
          <w:rFonts w:hint="eastAsia"/>
        </w:rPr>
        <w:fldChar w:fldCharType="end"/>
      </w:r>
      <w:r>
        <w:rPr>
          <w:rStyle w:val="22"/>
          <w:rFonts w:hint="eastAsia"/>
          <w:color w:val="auto"/>
          <w:u w:val="none" w:color="auto"/>
        </w:rPr>
        <w:t>t_r0211.pdf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・地下埋設物の事故防止マニュアル（中部地方整備局</w:t>
      </w:r>
      <w:r>
        <w:rPr>
          <w:rFonts w:hint="default"/>
          <w:snapToGrid w:val="0"/>
          <w:color w:val="auto"/>
          <w:kern w:val="0"/>
          <w:sz w:val="22"/>
          <w:u w:val="none" w:color="auto"/>
        </w:rPr>
        <w:t xml:space="preserve"> 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令和２年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10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月）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"https://www.cbr.mlit.go.jp/architecture/kensetsugijutsu/pdf/r0210_manual.pdf"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  <w:color w:val="auto"/>
          <w:u w:val="none" w:color="auto"/>
        </w:rPr>
        <w:t>https://www.cbr.mlit.go.jp/architecture/kensetsugijutsu/pdf/r0210_manual.pdf</w:t>
      </w:r>
      <w:r>
        <w:rPr>
          <w:rFonts w:hint="eastAsia"/>
        </w:rPr>
        <w:fldChar w:fldCharType="end"/>
      </w:r>
    </w:p>
    <w:p>
      <w:pPr>
        <w:pStyle w:val="0"/>
        <w:spacing w:line="320" w:lineRule="exact"/>
        <w:ind w:left="98" w:hanging="98" w:hangingChars="50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・地下埋設物・躯体埋込み配管等の事故防止マニュアル（営繕版）【業務編】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地下埋設物・躯体埋込み配管等の事故防止マニュアル（営繕版）【工事・調査業務編】</w:t>
      </w:r>
    </w:p>
    <w:p>
      <w:pPr>
        <w:pStyle w:val="0"/>
        <w:tabs>
          <w:tab w:val="left" w:leader="none" w:pos="7680"/>
        </w:tabs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（中部地方整備局営繕部</w:t>
      </w:r>
      <w:r>
        <w:rPr>
          <w:rFonts w:hint="default"/>
          <w:snapToGrid w:val="0"/>
          <w:color w:val="auto"/>
          <w:kern w:val="0"/>
          <w:sz w:val="22"/>
          <w:u w:val="none" w:color="auto"/>
        </w:rPr>
        <w:t xml:space="preserve"> 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令和５年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12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月１日）</w:t>
      </w:r>
    </w:p>
    <w:p>
      <w:pPr>
        <w:pStyle w:val="0"/>
        <w:tabs>
          <w:tab w:val="left" w:leader="none" w:pos="7680"/>
        </w:tabs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"https://www.cbr.mlit.go.jp/eizen/hinkaku/chika.ht"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  <w:color w:val="auto"/>
          <w:u w:val="none" w:color="auto"/>
        </w:rPr>
        <w:t>https://www.cbr.mlit.go.jp/eizen/hinkaku/chika.ht</w:t>
      </w:r>
      <w:r>
        <w:rPr>
          <w:rFonts w:hint="eastAsia"/>
        </w:rPr>
        <w:fldChar w:fldCharType="end"/>
      </w:r>
      <w:r>
        <w:rPr>
          <w:rStyle w:val="22"/>
          <w:rFonts w:hint="eastAsia"/>
          <w:color w:val="auto"/>
          <w:u w:val="none" w:color="auto"/>
        </w:rPr>
        <w:t>m</w:t>
      </w:r>
      <w:r>
        <w:rPr>
          <w:rFonts w:hint="default"/>
          <w:snapToGrid w:val="0"/>
          <w:color w:val="auto"/>
          <w:kern w:val="0"/>
          <w:sz w:val="22"/>
          <w:u w:val="none" w:color="auto"/>
        </w:rPr>
        <w:tab/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・架空線等上空施設の事故防止マニュアル（案）（中部地方整備局</w:t>
      </w:r>
      <w:r>
        <w:rPr>
          <w:rFonts w:hint="default"/>
          <w:snapToGrid w:val="0"/>
          <w:color w:val="auto"/>
          <w:kern w:val="0"/>
          <w:sz w:val="22"/>
          <w:u w:val="none" w:color="auto"/>
        </w:rPr>
        <w:t xml:space="preserve"> 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令和２年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10</w:t>
      </w:r>
      <w:r>
        <w:rPr>
          <w:rFonts w:hint="eastAsia"/>
          <w:snapToGrid w:val="0"/>
          <w:color w:val="auto"/>
          <w:kern w:val="0"/>
          <w:sz w:val="22"/>
          <w:u w:val="none" w:color="auto"/>
        </w:rPr>
        <w:t>月）</w:t>
      </w:r>
    </w:p>
    <w:p>
      <w:pPr>
        <w:pStyle w:val="0"/>
        <w:spacing w:line="320" w:lineRule="exact"/>
        <w:rPr>
          <w:rFonts w:hint="default"/>
          <w:snapToGrid w:val="0"/>
          <w:color w:val="auto"/>
          <w:kern w:val="0"/>
          <w:sz w:val="22"/>
          <w:u w:val="none" w:color="auto"/>
        </w:rPr>
      </w:pPr>
      <w:r>
        <w:rPr>
          <w:rFonts w:hint="eastAsia"/>
          <w:snapToGrid w:val="0"/>
          <w:color w:val="auto"/>
          <w:kern w:val="0"/>
          <w:sz w:val="22"/>
          <w:u w:val="none" w:color="auto"/>
        </w:rPr>
        <w:t>　</w:t>
      </w:r>
      <w:r>
        <w:rPr>
          <w:rStyle w:val="22"/>
          <w:rFonts w:hint="eastAsia"/>
          <w:color w:val="auto"/>
          <w:u w:val="none" w:color="auto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"https://www.cbr.mlit.go.jp/architecture/kensetsugijutsu/pdf/r0210_kasen.pdf"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  <w:color w:val="auto"/>
          <w:u w:val="none" w:color="auto"/>
        </w:rPr>
        <w:t>https://www.cbr.mlit.go.jp/architecture/kensetsugijutsu/pdf/r0210_kasen.pdf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rPr>
          <w:rFonts w:hint="default" w:ascii="ＭＳ ゴシックfalt" w:hAnsi="ＭＳ ゴシックfalt" w:eastAsia="ＭＳ ゴシックfalt"/>
          <w:snapToGrid w:val="0"/>
          <w:color w:val="auto"/>
          <w:kern w:val="0"/>
          <w:sz w:val="28"/>
          <w:u w:val="none" w:color="auto"/>
        </w:rPr>
      </w:pPr>
      <w:r>
        <w:rPr>
          <w:rFonts w:hint="default"/>
          <w:snapToGrid w:val="0"/>
          <w:color w:val="auto"/>
          <w:kern w:val="0"/>
          <w:sz w:val="22"/>
          <w:u w:val="none" w:color="auto"/>
        </w:rPr>
        <w:br w:type="page"/>
      </w:r>
      <w:r>
        <w:rPr>
          <w:rFonts w:hint="eastAsia" w:ascii="ＭＳ ゴシックfalt" w:hAnsi="ＭＳ ゴシックfalt" w:eastAsia="ＭＳ ゴシックfalt"/>
          <w:snapToGrid w:val="0"/>
          <w:color w:val="auto"/>
          <w:kern w:val="0"/>
          <w:sz w:val="28"/>
          <w:u w:val="none" w:color="auto"/>
        </w:rPr>
        <w:t>様式１</w: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auto"/>
          <w:sz w:val="28"/>
          <w:u w:val="none" w:color="auto"/>
        </w:rPr>
      </w:pPr>
      <w:r>
        <w:rPr>
          <w:rFonts w:hint="eastAsia" w:ascii="ＭＳ ゴシックfalt" w:hAnsi="ＭＳ ゴシックfalt" w:eastAsia="ＭＳ ゴシックfalt"/>
          <w:color w:val="auto"/>
          <w:sz w:val="28"/>
          <w:u w:val="none" w:color="auto"/>
        </w:rPr>
        <w:t>予想される事故対策リスト【建築・設備工事】（作成例）</w:t>
      </w:r>
    </w:p>
    <w:p>
      <w:pPr>
        <w:pStyle w:val="0"/>
        <w:spacing w:line="500" w:lineRule="atLeast"/>
        <w:ind w:left="432" w:hanging="432" w:hangingChars="200"/>
        <w:jc w:val="center"/>
        <w:rPr>
          <w:rFonts w:hint="default" w:ascii="ＭＳ ゴシックfalt" w:hAnsi="ＭＳ ゴシックfalt" w:eastAsia="ＭＳ ゴシックfalt"/>
          <w:color w:val="auto"/>
          <w:u w:val="non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658"/>
        <w:gridCol w:w="2744"/>
        <w:gridCol w:w="2214"/>
        <w:gridCol w:w="2592"/>
        <w:gridCol w:w="1198"/>
      </w:tblGrid>
      <w:tr>
        <w:trPr>
          <w:trHeight w:val="510" w:hRule="atLeast"/>
        </w:trPr>
        <w:tc>
          <w:tcPr>
            <w:tcW w:w="65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位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置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番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号</w:t>
            </w:r>
          </w:p>
        </w:tc>
        <w:tc>
          <w:tcPr>
            <w:tcW w:w="274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【事故の種別】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予想される事故</w:t>
            </w:r>
          </w:p>
        </w:tc>
        <w:tc>
          <w:tcPr>
            <w:tcW w:w="221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左記の安全対策</w:t>
            </w:r>
          </w:p>
        </w:tc>
        <w:tc>
          <w:tcPr>
            <w:tcW w:w="259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対策における留意点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確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認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日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①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【墜落・転落】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足場組立作業中の転落事故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・先行手すりの設置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・安全帯の固定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・作業がない時は、足場への入口を塞ぐ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②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【挟まれ・巻き込まれ】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移動中の機械との接触による身体の転倒や挟まれ事故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・移動させる機械の周囲への立入禁止措置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・監視人の配置</w:t>
            </w:r>
          </w:p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・機械移動範囲の地盤等安定保持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kern w:val="0"/>
                <w:sz w:val="22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2"/>
                <w:u w:val="none" w:color="auto"/>
              </w:rPr>
              <w:t>・機械と接触するときには、機械が作動しない状態であることの確認を徹底する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kern w:val="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③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【地下埋設物等】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バックホーやカッター等による埋設管（線）の破断事故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・管・線の管理者及び利用者に現地立会を求め、埋設位置を予め確認</w:t>
            </w:r>
          </w:p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・確認が十分にできない場合には、監督員と協議の上、人力掘削による試掘を行う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・個人所有の引込管等は存在が不明の場合もあることに留意する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④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【架空線】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重機のブーム等による架空線の切断事故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・防護カバーの設置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・高さ制限装置の設置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・注意看板の設置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・立入禁止区域の指定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・選任監視人の配置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・施設管理者に施工方法等の確認、立会を求める</w:t>
            </w:r>
          </w:p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・関係作業員への施設情報等の周知徹底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⑤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【第三者立入】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第三者の誤進入による接触、転倒事故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・進入防止柵等による立入禁止範囲と通行可能範囲の明示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・施工段階に応じて範囲の設定を変更し、隙間の発生を防ぐ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⑥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【交通事故】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ダンプトラックと歩行者・自転車との接触事故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・交通事故のハザードマップを作成・配布し、運行時の危険箇所を周知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・運行経路、時間帯にも配慮する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  <w:tr>
        <w:trPr/>
        <w:tc>
          <w:tcPr>
            <w:tcW w:w="658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⑦</w:t>
            </w:r>
          </w:p>
        </w:tc>
        <w:tc>
          <w:tcPr>
            <w:tcW w:w="274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【クレーン等の転倒】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アウトリガー据付箇所の不同沈下等によるクレーン等の転倒事故</w:t>
            </w:r>
          </w:p>
        </w:tc>
        <w:tc>
          <w:tcPr>
            <w:tcW w:w="221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・軟弱地盤の把握</w:t>
            </w:r>
          </w:p>
          <w:p>
            <w:pPr>
              <w:pStyle w:val="0"/>
              <w:spacing w:line="260" w:lineRule="exac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・敷鉄板の設置</w:t>
            </w:r>
          </w:p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・改良、入替等による支持力の確保</w:t>
            </w:r>
          </w:p>
        </w:tc>
        <w:tc>
          <w:tcPr>
            <w:tcW w:w="2592" w:type="dxa"/>
            <w:vAlign w:val="top"/>
          </w:tcPr>
          <w:p>
            <w:pPr>
              <w:pStyle w:val="0"/>
              <w:spacing w:line="260" w:lineRule="exact"/>
              <w:ind w:left="188" w:hanging="188" w:hangingChars="87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・荷重作用の直前、直後、中間時における敷鉄板の沈下等の確認を行う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/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担当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主任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総括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他　</w:t>
            </w:r>
            <w:r>
              <w:rPr>
                <w:rFonts w:hint="eastAsia" w:ascii="ＭＳ 明朝" w:hAnsi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16"/>
              </w:rPr>
              <w:t>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/>
                <w:color w:val="auto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</w:tr>
    </w:tbl>
    <w:p>
      <w:pPr>
        <w:pStyle w:val="0"/>
        <w:spacing w:line="170" w:lineRule="exact"/>
        <w:rPr>
          <w:rFonts w:hint="default"/>
          <w:color w:val="auto"/>
          <w:sz w:val="20"/>
          <w:u w:val="none" w:color="auto"/>
        </w:rPr>
      </w:pPr>
    </w:p>
    <w:sectPr>
      <w:headerReference r:id="rId5" w:type="default"/>
      <w:footerReference r:id="rId6" w:type="even"/>
      <w:pgSz w:w="11906" w:h="16838"/>
      <w:pgMar w:top="1100" w:right="1304" w:bottom="1320" w:left="1304" w:header="567" w:footer="851" w:gutter="0"/>
      <w:cols w:space="720"/>
      <w:textDirection w:val="lrTb"/>
      <w:docGrid w:type="linesAndChars" w:linePitch="440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notBeside" w:hAnchor="margin" w:vAnchor="text" w:x="-4" w:y="2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游明朝" w:hAnsi="游明朝" w:eastAsia="游明朝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6"/>
  <w:drawingGridVerticalSpacing w:val="2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ゴシック Medium" w:hAnsi="游ゴシック Medium" w:eastAsia="游ゴシック Medium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3</Pages>
  <Words>52</Words>
  <Characters>1566</Characters>
  <Application>JUST Note</Application>
  <Lines>248</Lines>
  <Paragraphs>175</Paragraphs>
  <CharactersWithSpaces>1723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工事安全管理に関する特記仕様書【営繕工事】（案）</dc:title>
  <dc:creator>神尾博巳</dc:creator>
  <cp:lastModifiedBy>岡谷　洋佑</cp:lastModifiedBy>
  <cp:lastPrinted>2019-12-26T09:32:04Z</cp:lastPrinted>
  <dcterms:created xsi:type="dcterms:W3CDTF">2019-10-24T11:05:00Z</dcterms:created>
  <dcterms:modified xsi:type="dcterms:W3CDTF">2025-03-24T07:26:13Z</dcterms:modified>
  <cp:revision>10</cp:revision>
</cp:coreProperties>
</file>